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d2cd603bb49c0cfac82a33bf76316419a05fd"/>
    <w:p>
      <w:pPr>
        <w:pStyle w:val="Heading3"/>
      </w:pPr>
      <w:r>
        <w:t xml:space="preserve">Руководители предприятий и организаций приглашаются принять участие в программах временного трудоустройства граждан</w:t>
      </w:r>
    </w:p>
    <w:p>
      <w:pPr>
        <w:pStyle w:val="FirstParagraph"/>
      </w:pPr>
      <w:r>
        <w:t xml:space="preserve">03.05.2017</w:t>
      </w:r>
    </w:p>
    <w:p>
      <w:pPr>
        <w:pStyle w:val="BodyText"/>
      </w:pPr>
      <w:r>
        <w:drawing>
          <wp:inline>
            <wp:extent cx="3429000" cy="48508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EB9wJIPwcVuPiENzAv_B1pV77MxqcAHeRilFfAvjuve8ATHpfzT7fvLDHT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508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http://teplystan.mos.ru/social-services/detail/5823124.html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5823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5823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2025-07-23T01:26:09Z</dcterms:created>
  <dcterms:modified xsi:type="dcterms:W3CDTF">2025-07-23T01:26:09Z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