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82a0df38f19a6be55245fc9d960acea2f2d2d9"/>
    <w:p>
      <w:pPr>
        <w:pStyle w:val="Heading3"/>
      </w:pPr>
      <w:r>
        <w:t xml:space="preserve">Круглый стол на тему "Существуют меры поддержки экспортно-ориентированных инновационных предприятий малого и среднего бизнеса в Москве"</w:t>
      </w:r>
    </w:p>
    <w:p>
      <w:pPr>
        <w:pStyle w:val="FirstParagraph"/>
      </w:pPr>
      <w:r>
        <w:t xml:space="preserve">06.11.2015</w:t>
      </w:r>
    </w:p>
    <w:p>
      <w:pPr>
        <w:pStyle w:val="BodyText"/>
      </w:pPr>
      <w:r>
        <w:drawing>
          <wp:inline>
            <wp:extent cx="5334000" cy="59997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a06d8ef8f7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99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9665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413130922f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66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70435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543e5802fc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04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08298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07cc3d6ebb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82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http://teplystan.mos.ru/social-services/detail/2282108.html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2282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2282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2024-11-27T00:37:25Z</dcterms:created>
  <dcterms:modified xsi:type="dcterms:W3CDTF">2024-11-27T00:37:25Z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