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ский-отдых"/>
    <w:p>
      <w:pPr>
        <w:pStyle w:val="Heading3"/>
      </w:pPr>
      <w:r>
        <w:t xml:space="preserve">Детский отдых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t xml:space="preserve">С учетом востребованности путевок в детские оздоровительные лагеря, расположенные в Московской области и Республике Крым, на 3 и 4 смены летней оздоровительной кампании 2015 года дополнительно закуплено 2500 путевок для выездного отдыха и оздоровления в детские оздоровительные лагеря, расположенные в указанных регионах. Учитывая, что в соответствии с п.1.1 приказа от 3 марта 2015 г. № 163 "Об организации выездного отдыха и оздоровления детей в 2015 году" сроки заявочной кампании установлены с 25 апреля по 10 июля 2015 г., принято решение продлить сроки заявочной кампании до 10 августа 2015 г.</w:t>
      </w:r>
    </w:p>
    <w:p>
      <w:pPr>
        <w:pStyle w:val="BodyText"/>
      </w:pPr>
      <w:r>
        <w:drawing>
          <wp:inline>
            <wp:extent cx="3429000" cy="48783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55b75a8fa4de48.48522557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78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http://teplystan.mos.ru/social-services/detail/2036046.html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036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036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2024-10-15T06:23:19Z</dcterms:created>
  <dcterms:modified xsi:type="dcterms:W3CDTF">2024-10-15T06:23:19Z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