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ca122c943b98d7c865840b9f2ed76d782ce70"/>
    <w:p>
      <w:pPr>
        <w:pStyle w:val="Heading3"/>
      </w:pPr>
      <w:r>
        <w:t xml:space="preserve">Исполняющий обязанности главы управы района Тёплый Стан, Комиссаров Николай Сергеевич, провёл приём жителей.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Исполняющий обязанности главы управы района Тёплый Стан, Комиссаров Николай Сергеевич, провёл приём жителей.</w:t>
      </w:r>
      <w:r>
        <w:br/>
      </w:r>
      <w:r>
        <w:br/>
      </w:r>
      <w:r>
        <w:drawing>
          <wp:inline>
            <wp:extent cx="203200" cy="203200"/>
            <wp:effectExtent b="0" l="0" r="0" t="0"/>
            <wp:docPr descr="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959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http://teplystan.mos.ru/social-services/detail/12705402.html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5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5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2024-12-06T10:00:52Z</dcterms:created>
  <dcterms:modified xsi:type="dcterms:W3CDTF">2024-12-06T10:00:52Z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