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340cf072cd5e54558f0ed2b8eb7a5d8ecb644"/>
    <w:p>
      <w:pPr>
        <w:pStyle w:val="Heading3"/>
      </w:pPr>
      <w:r>
        <w:t xml:space="preserve">22 октября глава управы района Теплый Стан Рябченко Роман Геннадьевич провел рабочую встречу с инициативной группой жителей дома №1 по улице Академика Виноградова.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22 октября глава управы района Теплый Стан Рябченко Роман Геннадьевич провел рабочую встречу с инициативной группой жителей дома №1 по улице Академика Виноградова.</w:t>
      </w:r>
      <w:r>
        <w:br/>
      </w:r>
    </w:p>
    <w:p>
      <w:pPr>
        <w:pStyle w:val="BodyText"/>
      </w:pPr>
      <w:r>
        <w:drawing>
          <wp:inline>
            <wp:extent cx="5334000" cy="34275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91/hmjvbnukjztvt4s77uw8879rtf9jf01a/Izobrazhenie-WhatsApp-2024_10_23-v-09.07.32_2677d7f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встречи рассмотрены актуальные вопросы, касающиеся жизни района. Намечен план совместных действий, а также организации общего собрания собственников.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http://teplystan.mos.ru/social-services/detail/12624678.html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24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24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2024-10-31T03:44:40Z</dcterms:created>
  <dcterms:modified xsi:type="dcterms:W3CDTF">2024-10-31T03:44:40Z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