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dc7e7d6234e34ba82545bea93eab550e7ffec"/>
    <w:p>
      <w:pPr>
        <w:pStyle w:val="Heading3"/>
      </w:pPr>
      <w:r>
        <w:t xml:space="preserve">Вчера по адресу ул. Генерала Тюленева, д. 39 прошла встреча главы района Теплый Стан с жителями.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Вчера по адресу ул. Генерала Тюленева, д. 39 прошла встреча главы района Теплый Стан с жителями.</w:t>
      </w:r>
      <w:r>
        <w:br/>
      </w:r>
    </w:p>
    <w:p>
      <w:pPr>
        <w:pStyle w:val="BodyText"/>
      </w:pPr>
      <w:r>
        <w:drawing>
          <wp:inline>
            <wp:extent cx="5334000" cy="2370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3d/chpjthnchnkmv60emr8o5n1idx2lzffd/54471288066000743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0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Обсуждались вопросы благоустройства территории: улучшение освещения, озеленение, организация парковочных мест и обновление детских площадок.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c6/eswwxj7dqwymutuh11anp0rkelfk9qlr/54471288066000743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района выслушал все предложения и пообещал учесть их в планах на будущее.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http://teplystan.mos.ru/social-services/detail/12582766.html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82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82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2024-09-25T08:11:34Z</dcterms:created>
  <dcterms:modified xsi:type="dcterms:W3CDTF">2024-09-25T08:11:34Z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