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13769e8e8d409b7e0bac314a8da4b6ea8f2d"/>
    <w:p>
      <w:pPr>
        <w:pStyle w:val="Heading3"/>
      </w:pPr>
      <w:r>
        <w:t xml:space="preserve">Итоги служебной деятельности за полугодие подвели в столичном главке Росгвардии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rPr>
          <w:iCs/>
          <w:i/>
        </w:rPr>
        <w:t xml:space="preserve">В столичном главке Росгвардии под руководством начальника Главного управления генерал-лейтенанта полиции Василия Сонина подвели итоги служебной деятельности подразделений за первое полугодие 2024 года.</w:t>
      </w:r>
    </w:p>
    <w:p>
      <w:pPr>
        <w:pStyle w:val="BodyText"/>
      </w:pPr>
      <w:r>
        <w:t xml:space="preserve">C начала года сотрудники и военнослужащие столичного главка Росгвардии обеспечили охрану общественного порядка и безопасность более 10 тысяч общественно-политических, культурно-массовых и спортивных мероприятий, которые посетило свыше 20 миллионов граждан. Росгвардейцы обеспечили правопорядок на выборах Президента Российской Федерации, Международной Выставке-Форуме «Россия», праздничных мероприятиях, посвященных 79-ой годовщине Победы в Великой Отечественной войне.</w:t>
      </w:r>
    </w:p>
    <w:p>
      <w:pPr>
        <w:pStyle w:val="BodyText"/>
      </w:pPr>
      <w:r>
        <w:t xml:space="preserve">В этом году спецподразделениями столичного главка Росгвардии выполнено порядка 900 задач по силовому сопровождению специальных мероприятий, в ходе которых было задержано более 3 тысяч человек.</w:t>
      </w:r>
    </w:p>
    <w:p>
      <w:pPr>
        <w:pStyle w:val="BodyText"/>
      </w:pPr>
      <w:r>
        <w:t xml:space="preserve">Кроме того, росгвардейцы продолжают выполнять служебно-боевые задачи в Северо-Кавказском регионе и в зоне проведения специальной военной операции.</w:t>
      </w:r>
    </w:p>
    <w:p>
      <w:pPr>
        <w:pStyle w:val="BodyText"/>
      </w:pPr>
      <w:r>
        <w:t xml:space="preserve">Экипажи вневедомственной охраны совершили более 94 тысяч выездов на охраняемые объекты и места хранения имущества граждан по сигналу «Тревога». Пресечено более 3,5 тысяч правонарушений.</w:t>
      </w:r>
    </w:p>
    <w:p>
      <w:pPr>
        <w:pStyle w:val="BodyText"/>
      </w:pPr>
      <w:r>
        <w:t xml:space="preserve">В целях контроля за оборотом оружия сотрудники Центра лицензионно-разрешительной работы провели более 24 тысяч проверок обеспечения сохранности и условий хранения оружия, по результатам которых привлечено к административной ответственности свыше 4 тысяч граждан.</w:t>
      </w:r>
    </w:p>
    <w:p>
      <w:pPr>
        <w:pStyle w:val="BodyText"/>
      </w:pPr>
      <w:r>
        <w:t xml:space="preserve">«Благодарю личный состав за выполнение всех поставленных задач. Уверен, что и впредь мы будем достойно выполнять свой служебный долг, обеспечивая правопорядок и безопасность в столице»,- отметил генерал-лейтенант полиции Василий Сонин.</w:t>
      </w:r>
    </w:p>
    <w:p>
      <w:pPr>
        <w:pStyle w:val="BodyText"/>
      </w:pPr>
      <w:r>
        <w:t xml:space="preserve">В завершении итогового совещания за достижение высоких результатов в служебной деятельности поощрены наиболее отличившиеся сотрудники и военнослужащие.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http://teplystan.mos.ru/social-services/detail/12420361.html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2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42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2024-06-13T15:10:20Z</dcterms:created>
  <dcterms:modified xsi:type="dcterms:W3CDTF">2024-06-13T15:10:20Z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