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d09a60c49a59f04be07e0cc667b02dd0ec56b"/>
    <w:p>
      <w:pPr>
        <w:pStyle w:val="Heading3"/>
      </w:pPr>
      <w:r>
        <w:t xml:space="preserve">17 мая по адресу улица Теплый Стан дом 14/2 состоится встреча главы управы и депутата МГД Н.Б. Метлиной с жителями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Дорогие теплостановцы! 17 мая (пятница) встречаемся у фонтана, улица Теплый Стан дом 14/2. На встрече будет депутат Мосгордумы Наталия Борисовна Метлина.</w:t>
      </w:r>
      <w:r>
        <w:br/>
      </w:r>
      <w:r>
        <w:t xml:space="preserve">Начало встречи в 16.30.</w:t>
      </w:r>
      <w:r>
        <w:br/>
      </w:r>
    </w:p>
    <w:p>
      <w:pPr>
        <w:pStyle w:val="BodyText"/>
      </w:pPr>
      <w:r>
        <w:t xml:space="preserve">Одним из вопросов - обсудим название сквера, где расположен памятник Московским ополченцам и фонтан.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863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7G4aViIsuM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86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http://teplystan.mos.ru/social-services/detail/12371036.html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71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71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2024-05-15T15:12:24Z</dcterms:created>
  <dcterms:modified xsi:type="dcterms:W3CDTF">2024-05-15T15:12:24Z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