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0d7fcaf601dc008c596923070f98ea2c45729"/>
    <w:p>
      <w:pPr>
        <w:pStyle w:val="Heading3"/>
      </w:pPr>
      <w:r>
        <w:t xml:space="preserve">14 мая состоится прогулка по району. Обход начнется от дома 31 по улице Теплый Стан. Встреча у 1-го подъезда. Начало в 18.30. Приходите.</w:t>
      </w:r>
    </w:p>
    <w:p>
      <w:pPr>
        <w:pStyle w:val="FirstParagraph"/>
      </w:pPr>
      <w:r>
        <w:t xml:space="preserve">11.05.2024</w:t>
      </w:r>
    </w:p>
    <w:p>
      <w:pPr>
        <w:pStyle w:val="BodyText"/>
      </w:pPr>
      <w:r>
        <w:t xml:space="preserve">14 мая состоится обход с главой управы Романом Геннадьевичем Рябченко по району. Обход начнется от дома 31 по улице Теплый Стан. Встреча у 1-го подъезда. Начало в 18.30. Приходите.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c4/khwtnqu19uh7yskol22hqmgu9zlo46t2/QF_nGKqyL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http://teplystan.mos.ru/social-services/detail/12363047.html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63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63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2024-11-11T04:43:56Z</dcterms:created>
  <dcterms:modified xsi:type="dcterms:W3CDTF">2024-11-11T04:43:56Z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