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01df9b0508b772b9ed4b5cc323c50fef03e233"/>
    <w:p>
      <w:pPr>
        <w:pStyle w:val="Heading3"/>
      </w:pPr>
      <w:r>
        <w:t xml:space="preserve">Прошел праздничный концерт посвященный масленице.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Глава управы района Теплый Стан Роман Рябченко посетил праздничный концерт посвященный масленице который прошел в Библиотеке №184.</w:t>
      </w:r>
      <w:r>
        <w:br/>
      </w:r>
      <w:r>
        <w:br/>
      </w:r>
    </w:p>
    <w:p>
      <w:pPr>
        <w:pStyle w:val="BodyText"/>
      </w:pPr>
      <w:r>
        <w:t xml:space="preserve">На мероприятии выступал ансамбль "Прима" после чего всех делающих угостили домашними блинами.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37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371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http://teplystan.mos.ru/social-services/detail/12238233.html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238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238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2024-03-13T15:16:56Z</dcterms:created>
  <dcterms:modified xsi:type="dcterms:W3CDTF">2024-03-13T15:16:56Z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