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e96c7db7abfec2c08d640f9e9c40609630e7ff"/>
    <w:p>
      <w:pPr>
        <w:pStyle w:val="Heading3"/>
      </w:pPr>
      <w:r>
        <w:t xml:space="preserve">В Академии акварели и изящных искусств Сергея Андрияки пройдет концерт посвященный 23 февраля</w:t>
      </w:r>
    </w:p>
    <w:p>
      <w:pPr>
        <w:pStyle w:val="FirstParagraph"/>
      </w:pPr>
      <w:r>
        <w:t xml:space="preserve">29.02.2024</w:t>
      </w:r>
    </w:p>
    <w:p>
      <w:pPr>
        <w:pStyle w:val="BodyText"/>
      </w:pPr>
      <w:r>
        <w:t xml:space="preserve">Праздничный концерт, посвященный 23 февраля и 8 марта состоится завтра, 1 марта в Академии акварели и изящных искусств Сергея Андрияки по адресу: ул. Академика Варги, д. 15.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http://teplystan.mos.ru/social-services/detail/12195942.html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95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social-services/detail/12195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2024-06-06T00:39:32Z</dcterms:created>
  <dcterms:modified xsi:type="dcterms:W3CDTF">2024-06-06T00:39:32Z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