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webp" ContentType="image/webp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b02d9cc08fe279c3d954125790d27e3dbd1f83"/>
    <w:p>
      <w:pPr>
        <w:pStyle w:val="Heading3"/>
      </w:pPr>
      <w:r>
        <w:t xml:space="preserve">Глава управы района Теплый Стан встретился с коллективом школы</w:t>
      </w:r>
    </w:p>
    <w:p>
      <w:pPr>
        <w:pStyle w:val="FirstParagraph"/>
      </w:pPr>
      <w:r>
        <w:t xml:space="preserve">27.02.2024</w:t>
      </w:r>
    </w:p>
    <w:p>
      <w:pPr>
        <w:pStyle w:val="BodyText"/>
      </w:pPr>
      <w:r>
        <w:t xml:space="preserve">Сегодня глава управы района Теплый Стан Роман Рябченко вместе с заместителем заместителем Еленой Осадчук провели встречу с коллективом школы 1507. На встрече обсудили наиболее актуальные вопросы касаемо нашей работы в районе, а так же поделились планами на ближайшие годы.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3030.webp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http://teplystan.mos.ru/social-services/detail/12191562.html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webp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91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91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2024-02-27T15:00:16Z</dcterms:created>
  <dcterms:modified xsi:type="dcterms:W3CDTF">2024-02-27T15:00:16Z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