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9ddc523ad4093da4434b8b95c96f8b95525b6"/>
    <w:p>
      <w:pPr>
        <w:pStyle w:val="Heading3"/>
      </w:pPr>
      <w:r>
        <w:t xml:space="preserve">В управе района Теплый Стан прошло заседание комиссии по предупреждению ликвидации чрезвычайных ситуаций и пожарной безопасности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t xml:space="preserve">Глава управы района Теплый Стан Р.Г. Рябченко провел заседание комиссии по предупреждению ликвидации чрезвычайных ситуаций и пожарной безопасности.</w:t>
      </w:r>
      <w:r>
        <w:br/>
      </w:r>
    </w:p>
    <w:p>
      <w:pPr>
        <w:pStyle w:val="BodyText"/>
      </w:pPr>
      <w:r>
        <w:t xml:space="preserve">На заседании были подняты вопросы обеспечения безопасности и предотвращения чрезвычайных ситуаций в период празднования новогодних и рождественских праздников.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79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bfthYH1Ca2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9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http://teplystan.mos.ru/social-services/detail/12024891.html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2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2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2024-11-19T11:57:51Z</dcterms:created>
  <dcterms:modified xsi:type="dcterms:W3CDTF">2024-11-19T11:57:51Z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