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b8b5f6b5ca3eff6373a6bc3784ca91849c4b3"/>
    <w:p>
      <w:pPr>
        <w:pStyle w:val="Heading3"/>
      </w:pPr>
      <w:r>
        <w:t xml:space="preserve">Глава управы района Теплый Стан Р.Г. Рябченко провел встресу с представителями ОПОП района и народной дружины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04.12.2023 г. глава управы района Теплый Стан Р.Г. Рябченко встретился с представителями ОПОП и народной дружины. На встрече были обсуждены текущие задачи и был намечен план  совместной работы по охране общественного порядка и действий по антитеррору.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.</w:t>
      </w:r>
    </w:p>
    <w:p>
      <w:pPr>
        <w:pStyle w:val="BodyText"/>
      </w:pPr>
      <w:r>
        <w:drawing>
          <wp:inline>
            <wp:extent cx="5334000" cy="34700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NBzlc0MzgN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0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http://teplystan.mos.ru/social-services/detail/12023096.html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2023-12-05T00:08:39Z</dcterms:created>
  <dcterms:modified xsi:type="dcterms:W3CDTF">2023-12-05T00:08:39Z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