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7e7860d81bb1fb90747e473ad047a6157f3a4"/>
    <w:p>
      <w:pPr>
        <w:pStyle w:val="Heading3"/>
      </w:pPr>
      <w:r>
        <w:t xml:space="preserve">Встреча главы управы с активной молодёжью района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Сегодня глава управы Роман Геннадьевич Рябченко и заместитель главы управы Елена Анатольевна Осадчук провели встречу с активной молодежью района.</w:t>
      </w:r>
      <w:r>
        <w:br/>
      </w:r>
      <w:r>
        <w:t xml:space="preserve">Встреча прошла в теплой доверительной обстановке.</w:t>
      </w:r>
      <w:r>
        <w:br/>
      </w:r>
      <w:r>
        <w:t xml:space="preserve">Обсудили, как объединить усилия, чтобы молодежь района была более активной и принимала участие в жизни района.</w:t>
      </w:r>
    </w:p>
    <w:p>
      <w:pPr>
        <w:pStyle w:val="BodyText"/>
      </w:pPr>
      <w:r>
        <w:drawing>
          <wp:inline>
            <wp:extent cx="5334000" cy="71093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79/8nhhzgpve31o038xan6ig29xwitx9y2a/RfBY6qyGxw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http://teplystan.mos.ru/social-services/detail/12014387.html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14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14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2024-01-11T15:52:16Z</dcterms:created>
  <dcterms:modified xsi:type="dcterms:W3CDTF">2024-01-11T15:52:16Z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