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стреча-с-молодёжной-палатой-теплый-стан"/>
    <w:p>
      <w:pPr>
        <w:pStyle w:val="Heading3"/>
      </w:pPr>
      <w:r>
        <w:t xml:space="preserve">Встреча с молодёжной палатой Теплый Стан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Сегодня глава управы Роман Геннадьевич Рябченко провел встречу с молодежной палатой района Теплый Стан. Были озвучены различные инициативы, новые проекты и идеи представителей молодёжной палаты.</w:t>
      </w:r>
      <w:r>
        <w:br/>
      </w:r>
      <w:r>
        <w:t xml:space="preserve">Молодые парламентарии этим летом организовывали праздники двора в дни школьных каникул, участвовали в мемориально-патриотических акциях, а также в городском конкурсе рисунка "Про мой район".</w:t>
      </w:r>
      <w:r>
        <w:br/>
      </w:r>
      <w:r>
        <w:t xml:space="preserve">Обсудили дальнейшие планы на 2024 год.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5d/l1b4rsuue30eecixlkrf3fluded2oxr3/eoVS5jmhEj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94/8p7v144u7kdxgq1nendlddrd1s1f8c0a/DU0W3BSvS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http://teplystan.mos.ru/social-services/detail/12010884.html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10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10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2025-01-16T19:52:27Z</dcterms:created>
  <dcterms:modified xsi:type="dcterms:W3CDTF">2025-01-16T19:52:27Z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