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стреча-главы-управы-с-молодежью-района"/>
    <w:p>
      <w:pPr>
        <w:pStyle w:val="Heading3"/>
      </w:pPr>
      <w:r>
        <w:t xml:space="preserve">Встреча главы управы с молодежью района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t xml:space="preserve">27.11.2023 глава управы района Теплый Стан Роман Геннадьевич Рябченко запланировал встречу с молодежью, для обсуждения вопросов развития спорта и волонтерского движения.</w:t>
      </w:r>
      <w:r>
        <w:br/>
      </w:r>
      <w:r>
        <w:t xml:space="preserve">Встреча пройдет в управе: ул. Профсоюзная, д. 154, к.2.</w:t>
      </w:r>
      <w:r>
        <w:br/>
      </w:r>
      <w:r>
        <w:t xml:space="preserve">В 17.00.</w:t>
      </w:r>
    </w:p>
    <w:p>
      <w:pPr>
        <w:pStyle w:val="BodyText"/>
      </w:pPr>
      <w:r>
        <w:drawing>
          <wp:inline>
            <wp:extent cx="5334000" cy="32453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ef/431q34s6cjkgfetg9od2pman9wocskzi/SMhBQGLf4h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5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http://teplystan.mos.ru/social-services/detail/12002930.html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02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02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2025-01-02T10:58:43Z</dcterms:created>
  <dcterms:modified xsi:type="dcterms:W3CDTF">2025-01-02T10:58:43Z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