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амятка-опасности-тонкого-льда"/>
    <w:p>
      <w:pPr>
        <w:pStyle w:val="Heading3"/>
      </w:pPr>
      <w:r>
        <w:t xml:space="preserve">Памятка: Опасности тонкого льда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drawing>
          <wp:inline>
            <wp:extent cx="5334000" cy="84160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67/8kfu7h3kuq7l2ubotkwqbb89me9ted3y/d87d84ad_a4c8_4bac_a736_68d5bb0daf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16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dc/mt7bjwbjno7lovgr479k1tzem5a2e5vs/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http://teplystan.mos.ru/security-/information-emercom/structure-general-information-reference-information/detail/12045616.html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ecurity-/information-emercom/structure-general-information-reference-information/detail/12045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ecurity-/information-emercom/structure-general-information-reference-information/detail/12045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2024-10-09T05:09:16Z</dcterms:created>
  <dcterms:modified xsi:type="dcterms:W3CDTF">2024-10-09T05:09:16Z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