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392fa7293945b6e97b54861dc3afd01419ec1"/>
    <w:p>
      <w:pPr>
        <w:pStyle w:val="Heading3"/>
      </w:pPr>
      <w:r>
        <w:t xml:space="preserve">Прямая линия в Московской городской военной прокуратуре</w:t>
      </w:r>
    </w:p>
    <w:p>
      <w:pPr>
        <w:pStyle w:val="FirstParagraph"/>
      </w:pPr>
      <w:r>
        <w:t xml:space="preserve">25.05.2017</w:t>
      </w:r>
    </w:p>
    <w:p>
      <w:pPr>
        <w:pStyle w:val="BodyText"/>
      </w:pPr>
      <w:r>
        <w:t xml:space="preserve">В Московской городской военной прокуратуре с 9 до 17 часов 25 мая 2017 года будет проводится "Прямая линия" с гражданами по вопросам антикоррупционного просвещения (в рамках компетенции органов военной прокуратуры) 8(495)693-56-21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http://teplystan.mos.ru/reference-information/detail/6034872.html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034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034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2025-08-06T07:58:32Z</dcterms:created>
  <dcterms:modified xsi:type="dcterms:W3CDTF">2025-08-06T07:58:32Z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