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b6dbdc2ed069307c910dfd7f64cf522fa7eac"/>
    <w:p>
      <w:pPr>
        <w:pStyle w:val="Heading3"/>
      </w:pPr>
      <w:r>
        <w:t xml:space="preserve">В «Лужниках» состоится главный спортивный праздник лета</w:t>
      </w:r>
    </w:p>
    <w:p>
      <w:pPr>
        <w:pStyle w:val="FirstParagraph"/>
      </w:pPr>
      <w:r>
        <w:t xml:space="preserve">26.07.2019</w:t>
      </w:r>
    </w:p>
    <w:p>
      <w:pPr>
        <w:pStyle w:val="BodyText"/>
      </w:pPr>
      <w:r>
        <w:drawing>
          <wp:inline>
            <wp:extent cx="4876800" cy="2438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спортивный%20праздник%20лета%20в%20лужниках%2026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Москвичей и гостей столицы 27 июля приглашают на традиционный спортивный праздник «Московский спорт в “Лужниках”».</w:t>
      </w:r>
    </w:p>
    <w:p>
      <w:pPr>
        <w:pStyle w:val="BodyText"/>
      </w:pPr>
      <w:r>
        <w:t xml:space="preserve">На территории олимпийского комплекса откроется более 40 спортивных и развлекательных площадок, которые будут работать в течение всего дня.</w:t>
      </w:r>
    </w:p>
    <w:p>
      <w:pPr>
        <w:pStyle w:val="BodyText"/>
      </w:pPr>
      <w:r>
        <w:t xml:space="preserve">Для гостей будет доступно 500 шахматных столов, 70 столов для настольного тенниса и 50 — для настольного хоккея, а также 12 площадок для игры в бадминтон, 10 площадок для игр в городки, площадка для сдачи норм ГТО. Также хоккейный клуб ЦСКА, баскетбольный клуб ЦСКА и футбольный клуб «Локомотив» представят свои площадки с трофеями, фотозонами и зонами для автограф-сессий с ветеранами клубов.</w:t>
      </w:r>
    </w:p>
    <w:p>
      <w:pPr>
        <w:pStyle w:val="BodyText"/>
      </w:pPr>
      <w:r>
        <w:t xml:space="preserve">Более подробную информацию можно узнать на</w:t>
      </w:r>
      <w:r>
        <w:t xml:space="preserve"> </w:t>
      </w:r>
      <w:hyperlink r:id="rId23">
        <w:r>
          <w:rPr>
            <w:rStyle w:val="Hyperlink"/>
          </w:rPr>
          <w:t xml:space="preserve">портале Мэра и Правительства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http://teplystan.mos.ru/presscenter/news/detail/8245120.html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presscenter/news/detail/8245120.html" TargetMode="External" /><Relationship Type="http://schemas.openxmlformats.org/officeDocument/2006/relationships/hyperlink" Id="rId23" Target="https://www.mos.ru/news/item/5913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plystan.mos.ru" TargetMode="External" /><Relationship Type="http://schemas.openxmlformats.org/officeDocument/2006/relationships/hyperlink" Id="rId24" Target="http://teplystan.mos.ru/presscenter/news/detail/8245120.html" TargetMode="External" /><Relationship Type="http://schemas.openxmlformats.org/officeDocument/2006/relationships/hyperlink" Id="rId23" Target="https://www.mos.ru/news/item/5913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2024-12-17T00:30:00Z</dcterms:created>
  <dcterms:modified xsi:type="dcterms:W3CDTF">2024-12-17T00:30:00Z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