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6cae222a571d79222c266c16ba2b6dffa5ac8"/>
    <w:p>
      <w:pPr>
        <w:pStyle w:val="Heading3"/>
      </w:pPr>
      <w:r>
        <w:t xml:space="preserve">В школе №1101 открыли запись в шахматный клуб «Два ферзя»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В школе №1101 открыли запись в шахматный клуб «Два ферзя». О направлении рассказали в паблике учреждения в</w:t>
      </w:r>
      <w:r>
        <w:t xml:space="preserve"> </w:t>
      </w:r>
      <w:hyperlink r:id="rId20">
        <w:r>
          <w:rPr>
            <w:rStyle w:val="Hyperlink"/>
          </w:rPr>
          <w:t xml:space="preserve">соцсети</w:t>
        </w:r>
      </w:hyperlink>
      <w:r>
        <w:t xml:space="preserve">.</w:t>
      </w:r>
    </w:p>
    <w:p>
      <w:pPr>
        <w:pStyle w:val="BodyText"/>
      </w:pPr>
      <w:r>
        <w:t xml:space="preserve">Занятия в шахматном клубе начнутся в новом учебном году. Записаться в это формирование могут ученики и других школ из Теплого Стана.</w:t>
      </w:r>
    </w:p>
    <w:p>
      <w:pPr>
        <w:pStyle w:val="BodyText"/>
      </w:pPr>
      <w:r>
        <w:t xml:space="preserve">Как отметил тренер по шахматам Александр Кочетков, те, кто только планирует приступить к обучению, могут во время каникул познакомиться с азами игры, узнать названия фигур, а также линий на игровом поле.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http://teplystan.mos.ru/presscenter/news/detail/11758399.html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1758399.html" TargetMode="External" /><Relationship Type="http://schemas.openxmlformats.org/officeDocument/2006/relationships/hyperlink" Id="rId20" Target="https://vk.com/public206835223?w=wall-206835223_32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1758399.html" TargetMode="External" /><Relationship Type="http://schemas.openxmlformats.org/officeDocument/2006/relationships/hyperlink" Id="rId20" Target="https://vk.com/public206835223?w=wall-206835223_32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2024-08-09T14:33:32Z</dcterms:created>
  <dcterms:modified xsi:type="dcterms:W3CDTF">2024-08-09T14:33:32Z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